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184" w:rsidRDefault="009A4184">
      <w:r>
        <w:rPr>
          <w:noProof/>
          <w:lang w:eastAsia="en-GB"/>
        </w:rPr>
        <w:drawing>
          <wp:anchor distT="0" distB="0" distL="114300" distR="114300" simplePos="0" relativeHeight="251659264" behindDoc="0" locked="0" layoutInCell="1" allowOverlap="1" wp14:anchorId="6EFE105B" wp14:editId="23C65DFC">
            <wp:simplePos x="0" y="0"/>
            <wp:positionH relativeFrom="margin">
              <wp:align>left</wp:align>
            </wp:positionH>
            <wp:positionV relativeFrom="paragraph">
              <wp:posOffset>-390525</wp:posOffset>
            </wp:positionV>
            <wp:extent cx="1880870" cy="72834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C Asset Management"/>
                    <pic:cNvPicPr>
                      <a:picLocks noChangeAspect="1" noChangeArrowheads="1"/>
                    </pic:cNvPicPr>
                  </pic:nvPicPr>
                  <pic:blipFill>
                    <a:blip r:embed="rId7" cstate="print">
                      <a:extLst>
                        <a:ext uri="{28A0092B-C50C-407E-A947-70E740481C1C}">
                          <a14:useLocalDpi xmlns:a14="http://schemas.microsoft.com/office/drawing/2010/main" val="0"/>
                        </a:ext>
                      </a:extLst>
                    </a:blip>
                    <a:srcRect l="10909" t="17751" r="11250" b="15794"/>
                    <a:stretch>
                      <a:fillRect/>
                    </a:stretch>
                  </pic:blipFill>
                  <pic:spPr bwMode="auto">
                    <a:xfrm>
                      <a:off x="0" y="0"/>
                      <a:ext cx="1880870"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184" w:rsidRDefault="009A4184"/>
    <w:p w:rsidR="009A4184" w:rsidRDefault="009A4184"/>
    <w:p w:rsidR="009A4184" w:rsidRDefault="009A4184" w:rsidP="009A4184"/>
    <w:p w:rsidR="009A4184" w:rsidRDefault="009A4184" w:rsidP="009A4184">
      <w:r>
        <w:t>HSBC ETFs plc</w:t>
      </w:r>
    </w:p>
    <w:p w:rsidR="009A4184" w:rsidRDefault="009A4184" w:rsidP="009A4184">
      <w:r>
        <w:t>18 November 2019</w:t>
      </w:r>
    </w:p>
    <w:p w:rsidR="009A4184" w:rsidRDefault="009A4184" w:rsidP="009A4184"/>
    <w:p w:rsidR="009A4184" w:rsidRDefault="009A4184" w:rsidP="009A4184">
      <w:pPr>
        <w:rPr>
          <w:b/>
        </w:rPr>
      </w:pPr>
      <w:r>
        <w:rPr>
          <w:b/>
        </w:rPr>
        <w:t>RNS ANNOUNCEMENT</w:t>
      </w:r>
    </w:p>
    <w:p w:rsidR="009A4184" w:rsidRDefault="009A4184" w:rsidP="009A4184">
      <w:pPr>
        <w:rPr>
          <w:b/>
        </w:rPr>
      </w:pPr>
    </w:p>
    <w:p w:rsidR="009A4184" w:rsidRDefault="009A4184" w:rsidP="009A4184">
      <w:pPr>
        <w:rPr>
          <w:b/>
        </w:rPr>
      </w:pPr>
      <w:r>
        <w:rPr>
          <w:b/>
        </w:rPr>
        <w:t>HSBC ETFs plc (the “Company”) – Change of share settlement structure</w:t>
      </w:r>
    </w:p>
    <w:p w:rsidR="009A4184" w:rsidRDefault="009A4184" w:rsidP="009A4184">
      <w:pPr>
        <w:rPr>
          <w:b/>
        </w:rPr>
      </w:pPr>
    </w:p>
    <w:p w:rsidR="009A4184" w:rsidRDefault="009A4184" w:rsidP="009A4184">
      <w:r>
        <w:t>18 November 2019</w:t>
      </w:r>
    </w:p>
    <w:p w:rsidR="009A4184" w:rsidRDefault="009A4184" w:rsidP="009A4184"/>
    <w:p w:rsidR="009A4184" w:rsidRDefault="009A4184" w:rsidP="009A4184">
      <w:r>
        <w:t>This notice is to make you aware that the Company has issued a circular to the shareholders of each sub-fund set out in the schedule hereto (the “</w:t>
      </w:r>
      <w:r>
        <w:rPr>
          <w:b/>
        </w:rPr>
        <w:t>Shareholders</w:t>
      </w:r>
      <w:r>
        <w:t>”) for the purpose of convening:</w:t>
      </w:r>
    </w:p>
    <w:p w:rsidR="009A4184" w:rsidRDefault="009A4184" w:rsidP="009A4184"/>
    <w:p w:rsidR="009A4184" w:rsidRDefault="009A4184" w:rsidP="009A4184">
      <w:pPr>
        <w:pStyle w:val="ACLevel1"/>
        <w:tabs>
          <w:tab w:val="num" w:pos="720"/>
        </w:tabs>
        <w:adjustRightInd w:val="0"/>
        <w:spacing w:after="220"/>
        <w:ind w:left="720" w:hanging="720"/>
        <w:jc w:val="both"/>
        <w:outlineLvl w:val="0"/>
      </w:pPr>
      <w:r>
        <w:t>a meeting of Shareholders to approve a scheme of arrangement (as described in the circular)(the “</w:t>
      </w:r>
      <w:r>
        <w:rPr>
          <w:b/>
        </w:rPr>
        <w:t>Scheme</w:t>
      </w:r>
      <w:r>
        <w:t>”) to effect change to the share settlement structure of the Company (the “</w:t>
      </w:r>
      <w:r>
        <w:rPr>
          <w:b/>
        </w:rPr>
        <w:t>Scheme Meeting</w:t>
      </w:r>
      <w:r>
        <w:t xml:space="preserve">”); and </w:t>
      </w:r>
    </w:p>
    <w:p w:rsidR="009A4184" w:rsidRDefault="009A4184" w:rsidP="009A4184">
      <w:pPr>
        <w:pStyle w:val="ACLevel1"/>
        <w:tabs>
          <w:tab w:val="num" w:pos="720"/>
        </w:tabs>
        <w:adjustRightInd w:val="0"/>
        <w:spacing w:after="220"/>
        <w:ind w:left="720" w:hanging="720"/>
        <w:jc w:val="both"/>
        <w:outlineLvl w:val="0"/>
      </w:pPr>
      <w:r>
        <w:t>an extraordinary general meeting to approve the Scheme, to authorise the directors of the Company to take such action as they deem necessary or appropriate to implement the Scheme and to adopt new articles of association of the Company (the “</w:t>
      </w:r>
      <w:r>
        <w:rPr>
          <w:b/>
        </w:rPr>
        <w:t>EGM</w:t>
      </w:r>
      <w:r>
        <w:t xml:space="preserve">”). </w:t>
      </w:r>
    </w:p>
    <w:p w:rsidR="009A4184" w:rsidRDefault="009A4184" w:rsidP="009A4184">
      <w:r>
        <w:t xml:space="preserve">The Scheme Meeting will be held at the offices of A&amp;L Goodbody, 25/28 North Wall Quay, IFSC, Dublin 1, Ireland on 15 January 2020 at 09:00 </w:t>
      </w:r>
      <w:proofErr w:type="gramStart"/>
      <w:r>
        <w:t>a.m..</w:t>
      </w:r>
      <w:proofErr w:type="gramEnd"/>
      <w:r>
        <w:t xml:space="preserve"> The EGM will be held at </w:t>
      </w:r>
      <w:r w:rsidRPr="00753D6F">
        <w:t>the offices of A&amp;L Goodbody, 25/28 North Wall Quay, IFSC, Dublin 1, Ireland</w:t>
      </w:r>
      <w:r w:rsidRPr="00753D6F" w:rsidDel="00753D6F">
        <w:t xml:space="preserve"> </w:t>
      </w:r>
      <w:r>
        <w:t xml:space="preserve">on 15 January 2020 at 09:15 </w:t>
      </w:r>
      <w:proofErr w:type="gramStart"/>
      <w:r>
        <w:t>a.m..</w:t>
      </w:r>
      <w:proofErr w:type="gramEnd"/>
      <w:r>
        <w:t xml:space="preserve">    </w:t>
      </w:r>
    </w:p>
    <w:p w:rsidR="009A4184" w:rsidRDefault="009A4184" w:rsidP="009A4184"/>
    <w:p w:rsidR="009A4184" w:rsidRPr="0083033C" w:rsidRDefault="009A4184" w:rsidP="009A4184">
      <w:pPr>
        <w:rPr>
          <w:b/>
        </w:rPr>
      </w:pPr>
      <w:r w:rsidRPr="0083033C">
        <w:rPr>
          <w:b/>
        </w:rPr>
        <w:t>Background to the proposal to change the share settlement structure of the Company</w:t>
      </w:r>
    </w:p>
    <w:p w:rsidR="009A4184" w:rsidRDefault="009A4184" w:rsidP="009A4184"/>
    <w:p w:rsidR="009A4184" w:rsidRDefault="009A4184" w:rsidP="009A4184">
      <w:r>
        <w:t>The sub-funds of the Company are exchange-traded funds and their participating shares are listed on multiple stock exchanges across Europe. Each exchange typically operates its own central securities depositary (“</w:t>
      </w:r>
      <w:r w:rsidRPr="0083033C">
        <w:rPr>
          <w:b/>
        </w:rPr>
        <w:t>CSD</w:t>
      </w:r>
      <w:r>
        <w:t>”) for settlement functions. Trading and settling participating shares under this structure involves moving the participating shares between various CSDs, which is complex, costly and inefficient.</w:t>
      </w:r>
    </w:p>
    <w:p w:rsidR="009A4184" w:rsidRDefault="009A4184" w:rsidP="009A4184"/>
    <w:p w:rsidR="009A4184" w:rsidRDefault="009A4184" w:rsidP="009A4184">
      <w:r>
        <w:t>The directors of the Company are of the view that the International Central Securities Depositary (“</w:t>
      </w:r>
      <w:r>
        <w:rPr>
          <w:b/>
        </w:rPr>
        <w:t>ICSD</w:t>
      </w:r>
      <w:r w:rsidRPr="0083033C">
        <w:t>”)</w:t>
      </w:r>
      <w:r>
        <w:t xml:space="preserve"> settlement model provides a more streamlined centralised settlement structure which they expect will result in improved liquidity and spreads for investors and will reduce risk in the settlement process. </w:t>
      </w:r>
    </w:p>
    <w:p w:rsidR="009A4184" w:rsidRDefault="009A4184" w:rsidP="009A4184"/>
    <w:p w:rsidR="009A4184" w:rsidRDefault="009A4184" w:rsidP="009A4184">
      <w:r>
        <w:t>Converting the settlement model of the shares of the sub-funds of the Company to the ICSD model will also bring all of the Company’s sub-funds into one consistent settlement structure which is expected to make navigating the settlement structures for the sub-funds more straightforward.</w:t>
      </w:r>
    </w:p>
    <w:p w:rsidR="009A4184" w:rsidRDefault="009A4184" w:rsidP="009A4184"/>
    <w:p w:rsidR="009A4184" w:rsidRDefault="009A4184" w:rsidP="009A4184">
      <w:r>
        <w:lastRenderedPageBreak/>
        <w:t xml:space="preserve">Further RNS/stock exchange announcements will be made to inform Shareholders of the outcome of the Scheme Meeting and the EGM. </w:t>
      </w:r>
    </w:p>
    <w:p w:rsidR="009A4184" w:rsidRDefault="009A4184" w:rsidP="009A4184">
      <w:pPr>
        <w:rPr>
          <w:b/>
          <w:lang w:val="en"/>
        </w:rPr>
      </w:pPr>
    </w:p>
    <w:p w:rsidR="009A4184" w:rsidRPr="00642E3E" w:rsidRDefault="009A4184" w:rsidP="009A4184">
      <w:pPr>
        <w:rPr>
          <w:b/>
          <w:lang w:val="en"/>
        </w:rPr>
      </w:pPr>
      <w:r w:rsidRPr="00642E3E">
        <w:rPr>
          <w:b/>
          <w:lang w:val="en"/>
        </w:rPr>
        <w:t xml:space="preserve">Further </w:t>
      </w:r>
      <w:r>
        <w:rPr>
          <w:b/>
          <w:lang w:val="en"/>
        </w:rPr>
        <w:t>E</w:t>
      </w:r>
      <w:r w:rsidRPr="00642E3E">
        <w:rPr>
          <w:b/>
          <w:lang w:val="en"/>
        </w:rPr>
        <w:t>nquiries</w:t>
      </w:r>
    </w:p>
    <w:p w:rsidR="009A4184" w:rsidRDefault="009A4184" w:rsidP="009A4184">
      <w:pPr>
        <w:rPr>
          <w:lang w:val="en"/>
        </w:rPr>
      </w:pPr>
    </w:p>
    <w:p w:rsidR="009A4184" w:rsidRPr="00CB105A" w:rsidRDefault="009A4184" w:rsidP="009A4184">
      <w:pPr>
        <w:rPr>
          <w:lang w:val="en"/>
        </w:rPr>
      </w:pPr>
      <w:r w:rsidRPr="00EF6CAA">
        <w:rPr>
          <w:highlight w:val="yellow"/>
          <w:lang w:val="en"/>
        </w:rPr>
        <w:t>Please contact</w:t>
      </w:r>
      <w:r>
        <w:rPr>
          <w:rStyle w:val="Hyperlink"/>
          <w:lang w:val="en"/>
        </w:rPr>
        <w:t xml:space="preserve">      </w:t>
      </w:r>
    </w:p>
    <w:p w:rsidR="009A4184" w:rsidRDefault="009A4184" w:rsidP="009A4184">
      <w:pPr>
        <w:spacing w:after="200" w:line="276" w:lineRule="auto"/>
        <w:jc w:val="center"/>
        <w:rPr>
          <w:b/>
        </w:rPr>
      </w:pPr>
      <w:r>
        <w:rPr>
          <w:b/>
        </w:rPr>
        <w:br w:type="page"/>
      </w:r>
    </w:p>
    <w:p w:rsidR="009A4184" w:rsidRDefault="009A4184" w:rsidP="009A4184">
      <w:pPr>
        <w:spacing w:after="200" w:line="276" w:lineRule="auto"/>
        <w:jc w:val="center"/>
        <w:rPr>
          <w:b/>
        </w:rPr>
      </w:pPr>
      <w:r>
        <w:rPr>
          <w:b/>
        </w:rPr>
        <w:lastRenderedPageBreak/>
        <w:t>SCHEDULE</w:t>
      </w:r>
    </w:p>
    <w:p w:rsidR="009A4184" w:rsidRDefault="009A4184" w:rsidP="009A4184">
      <w:pPr>
        <w:jc w:val="center"/>
        <w:rPr>
          <w:b/>
        </w:rPr>
      </w:pPr>
    </w:p>
    <w:p w:rsidR="009A4184" w:rsidRDefault="009A4184" w:rsidP="009A4184">
      <w:pPr>
        <w:rPr>
          <w:b/>
        </w:rPr>
      </w:pPr>
      <w:r>
        <w:rPr>
          <w:b/>
        </w:rPr>
        <w:t>Converting sub-funds</w:t>
      </w:r>
    </w:p>
    <w:p w:rsidR="009A4184" w:rsidRDefault="009A4184" w:rsidP="009A4184">
      <w:pPr>
        <w:rPr>
          <w:b/>
        </w:rPr>
      </w:pPr>
    </w:p>
    <w:tbl>
      <w:tblPr>
        <w:tblStyle w:val="TableGrid"/>
        <w:tblW w:w="9067" w:type="dxa"/>
        <w:tblLook w:val="04A0" w:firstRow="1" w:lastRow="0" w:firstColumn="1" w:lastColumn="0" w:noHBand="0" w:noVBand="1"/>
      </w:tblPr>
      <w:tblGrid>
        <w:gridCol w:w="6516"/>
        <w:gridCol w:w="2551"/>
      </w:tblGrid>
      <w:tr w:rsidR="009A4184" w:rsidRPr="00D103ED" w:rsidTr="00013455">
        <w:trPr>
          <w:tblHeader/>
        </w:trPr>
        <w:tc>
          <w:tcPr>
            <w:tcW w:w="6516" w:type="dxa"/>
            <w:vAlign w:val="center"/>
          </w:tcPr>
          <w:p w:rsidR="009A4184" w:rsidRPr="00634D79" w:rsidRDefault="009A4184" w:rsidP="00013455">
            <w:pPr>
              <w:jc w:val="center"/>
              <w:rPr>
                <w:b/>
              </w:rPr>
            </w:pPr>
            <w:r w:rsidRPr="00634D79">
              <w:rPr>
                <w:b/>
              </w:rPr>
              <w:t>Converting Sub-Funds</w:t>
            </w:r>
          </w:p>
        </w:tc>
        <w:tc>
          <w:tcPr>
            <w:tcW w:w="2551" w:type="dxa"/>
          </w:tcPr>
          <w:p w:rsidR="009A4184" w:rsidRPr="00D103ED" w:rsidRDefault="009A4184" w:rsidP="00013455">
            <w:pPr>
              <w:jc w:val="center"/>
              <w:rPr>
                <w:b/>
              </w:rPr>
            </w:pPr>
            <w:r w:rsidRPr="00D103ED">
              <w:rPr>
                <w:b/>
              </w:rPr>
              <w:t>ISIN</w:t>
            </w:r>
          </w:p>
        </w:tc>
      </w:tr>
      <w:tr w:rsidR="009A4184" w:rsidTr="00013455">
        <w:trPr>
          <w:trHeight w:hRule="exact" w:val="454"/>
        </w:trPr>
        <w:tc>
          <w:tcPr>
            <w:tcW w:w="6516" w:type="dxa"/>
          </w:tcPr>
          <w:p w:rsidR="009A4184" w:rsidRPr="00C620CF" w:rsidRDefault="009A4184" w:rsidP="00013455">
            <w:pPr>
              <w:pStyle w:val="Body"/>
              <w:rPr>
                <w:szCs w:val="20"/>
              </w:rPr>
            </w:pPr>
            <w:r w:rsidRPr="00034F1C">
              <w:rPr>
                <w:szCs w:val="20"/>
              </w:rPr>
              <w:t>HSBC ECONOMIC SCALE WORLDWIDE EQUITY UCITS ETF</w:t>
            </w:r>
          </w:p>
        </w:tc>
        <w:tc>
          <w:tcPr>
            <w:tcW w:w="2551" w:type="dxa"/>
          </w:tcPr>
          <w:p w:rsidR="009A4184" w:rsidRDefault="009A4184" w:rsidP="00013455">
            <w:r w:rsidRPr="00882D19">
              <w:rPr>
                <w:rStyle w:val="fu"/>
                <w:lang w:val="en"/>
              </w:rPr>
              <w:t>IE00BKZG9Y92</w:t>
            </w:r>
            <w:r w:rsidRPr="00A6221E">
              <w:rPr>
                <w:rStyle w:val="fu"/>
                <w:lang w:val="en"/>
              </w:rPr>
              <w:t xml:space="preserve"> </w:t>
            </w:r>
          </w:p>
        </w:tc>
      </w:tr>
      <w:tr w:rsidR="009A4184" w:rsidTr="00013455">
        <w:trPr>
          <w:trHeight w:hRule="exact" w:val="454"/>
        </w:trPr>
        <w:tc>
          <w:tcPr>
            <w:tcW w:w="6516" w:type="dxa"/>
          </w:tcPr>
          <w:p w:rsidR="009A4184" w:rsidRPr="00C620CF" w:rsidRDefault="009A4184" w:rsidP="00013455">
            <w:pPr>
              <w:pStyle w:val="Body"/>
              <w:rPr>
                <w:szCs w:val="20"/>
              </w:rPr>
            </w:pPr>
            <w:r w:rsidRPr="00034F1C">
              <w:rPr>
                <w:szCs w:val="20"/>
              </w:rPr>
              <w:t>HSBC EURO STOXX 50 UCITS ETF</w:t>
            </w:r>
          </w:p>
        </w:tc>
        <w:tc>
          <w:tcPr>
            <w:tcW w:w="2551" w:type="dxa"/>
          </w:tcPr>
          <w:p w:rsidR="009A4184" w:rsidRDefault="009A4184" w:rsidP="00013455">
            <w:r w:rsidRPr="00882D19">
              <w:rPr>
                <w:rStyle w:val="fu"/>
                <w:lang w:val="en"/>
              </w:rPr>
              <w:t>IE00B4K6B022</w:t>
            </w:r>
          </w:p>
        </w:tc>
      </w:tr>
      <w:tr w:rsidR="009A4184" w:rsidTr="00013455">
        <w:trPr>
          <w:trHeight w:hRule="exact" w:val="454"/>
        </w:trPr>
        <w:tc>
          <w:tcPr>
            <w:tcW w:w="6516" w:type="dxa"/>
          </w:tcPr>
          <w:p w:rsidR="009A4184" w:rsidRPr="00034F1C" w:rsidRDefault="009A4184" w:rsidP="00013455">
            <w:pPr>
              <w:pStyle w:val="Body"/>
              <w:rPr>
                <w:szCs w:val="20"/>
              </w:rPr>
            </w:pPr>
            <w:r w:rsidRPr="00034F1C">
              <w:rPr>
                <w:szCs w:val="20"/>
              </w:rPr>
              <w:t>HSBC FTSE 100 UCITS ETF</w:t>
            </w:r>
          </w:p>
        </w:tc>
        <w:tc>
          <w:tcPr>
            <w:tcW w:w="2551" w:type="dxa"/>
          </w:tcPr>
          <w:p w:rsidR="009A4184" w:rsidRDefault="009A4184" w:rsidP="00013455">
            <w:r w:rsidRPr="00882D19">
              <w:rPr>
                <w:rStyle w:val="fu"/>
                <w:lang w:val="en"/>
              </w:rPr>
              <w:t>IE00B42TW061</w:t>
            </w:r>
          </w:p>
        </w:tc>
      </w:tr>
      <w:tr w:rsidR="009A4184" w:rsidTr="00013455">
        <w:trPr>
          <w:trHeight w:hRule="exact" w:val="454"/>
        </w:trPr>
        <w:tc>
          <w:tcPr>
            <w:tcW w:w="6516" w:type="dxa"/>
          </w:tcPr>
          <w:p w:rsidR="009A4184" w:rsidRPr="00C620CF" w:rsidRDefault="009A4184" w:rsidP="00013455">
            <w:pPr>
              <w:pStyle w:val="Body"/>
              <w:rPr>
                <w:i/>
                <w:sz w:val="16"/>
                <w:szCs w:val="20"/>
              </w:rPr>
            </w:pPr>
            <w:r w:rsidRPr="00034F1C">
              <w:rPr>
                <w:snapToGrid w:val="0"/>
                <w:szCs w:val="20"/>
                <w:lang w:val="en-US" w:eastAsia="en-US"/>
              </w:rPr>
              <w:t>HSBC FTSE 250 UCITS ET</w:t>
            </w:r>
          </w:p>
        </w:tc>
        <w:tc>
          <w:tcPr>
            <w:tcW w:w="2551" w:type="dxa"/>
          </w:tcPr>
          <w:p w:rsidR="009A4184" w:rsidRDefault="009A4184" w:rsidP="00013455">
            <w:r w:rsidRPr="00882D19">
              <w:rPr>
                <w:rStyle w:val="fu"/>
                <w:lang w:val="en"/>
              </w:rPr>
              <w:t>IE00B64PTF05</w:t>
            </w:r>
          </w:p>
        </w:tc>
      </w:tr>
      <w:tr w:rsidR="009A4184" w:rsidTr="00013455">
        <w:trPr>
          <w:trHeight w:hRule="exact" w:val="454"/>
        </w:trPr>
        <w:tc>
          <w:tcPr>
            <w:tcW w:w="6516" w:type="dxa"/>
          </w:tcPr>
          <w:p w:rsidR="009A4184" w:rsidRPr="00034F1C" w:rsidRDefault="009A4184" w:rsidP="00013455">
            <w:pPr>
              <w:pStyle w:val="Body"/>
              <w:rPr>
                <w:snapToGrid w:val="0"/>
                <w:szCs w:val="20"/>
                <w:lang w:val="en-US" w:eastAsia="en-US"/>
              </w:rPr>
            </w:pPr>
            <w:r w:rsidRPr="00034F1C">
              <w:rPr>
                <w:snapToGrid w:val="0"/>
                <w:szCs w:val="20"/>
                <w:lang w:val="en-US" w:eastAsia="en-US"/>
              </w:rPr>
              <w:t>HSBC FTSE EPRA NAREIT DEVELOPED UCITS ETF</w:t>
            </w:r>
          </w:p>
        </w:tc>
        <w:tc>
          <w:tcPr>
            <w:tcW w:w="2551" w:type="dxa"/>
          </w:tcPr>
          <w:p w:rsidR="009A4184" w:rsidRDefault="009A4184" w:rsidP="00013455">
            <w:r w:rsidRPr="00882D19">
              <w:rPr>
                <w:rStyle w:val="fu"/>
                <w:lang w:val="en"/>
              </w:rPr>
              <w:t>IE00B5L01S80</w:t>
            </w:r>
          </w:p>
        </w:tc>
      </w:tr>
      <w:tr w:rsidR="009A4184" w:rsidTr="00013455">
        <w:trPr>
          <w:trHeight w:hRule="exact" w:val="454"/>
        </w:trPr>
        <w:tc>
          <w:tcPr>
            <w:tcW w:w="6516" w:type="dxa"/>
          </w:tcPr>
          <w:p w:rsidR="009A4184" w:rsidRPr="00034F1C" w:rsidRDefault="009A4184" w:rsidP="00013455">
            <w:pPr>
              <w:pStyle w:val="Body"/>
              <w:rPr>
                <w:snapToGrid w:val="0"/>
                <w:szCs w:val="20"/>
                <w:lang w:val="en-US" w:eastAsia="en-US"/>
              </w:rPr>
            </w:pPr>
            <w:r w:rsidRPr="00034F1C">
              <w:rPr>
                <w:snapToGrid w:val="0"/>
                <w:szCs w:val="20"/>
                <w:lang w:val="en-US" w:eastAsia="en-US"/>
              </w:rPr>
              <w:t>HSBC MSCI AC FAR EAST ex JAPAN UCITS ETF</w:t>
            </w:r>
          </w:p>
        </w:tc>
        <w:tc>
          <w:tcPr>
            <w:tcW w:w="2551" w:type="dxa"/>
          </w:tcPr>
          <w:p w:rsidR="009A4184" w:rsidRDefault="009A4184" w:rsidP="00013455">
            <w:r w:rsidRPr="00882D19">
              <w:rPr>
                <w:rStyle w:val="fu"/>
                <w:lang w:val="en"/>
              </w:rPr>
              <w:t>IE00BBQ2W338</w:t>
            </w:r>
          </w:p>
        </w:tc>
      </w:tr>
      <w:tr w:rsidR="009A4184" w:rsidTr="00013455">
        <w:trPr>
          <w:trHeight w:hRule="exact" w:val="454"/>
        </w:trPr>
        <w:tc>
          <w:tcPr>
            <w:tcW w:w="6516" w:type="dxa"/>
          </w:tcPr>
          <w:p w:rsidR="009A4184" w:rsidRPr="00034F1C" w:rsidRDefault="009A4184" w:rsidP="00013455">
            <w:pPr>
              <w:pStyle w:val="Body"/>
              <w:rPr>
                <w:snapToGrid w:val="0"/>
                <w:szCs w:val="20"/>
                <w:lang w:val="en-US" w:eastAsia="en-US"/>
              </w:rPr>
            </w:pPr>
            <w:r w:rsidRPr="00034F1C">
              <w:rPr>
                <w:snapToGrid w:val="0"/>
                <w:szCs w:val="20"/>
                <w:lang w:val="en-US" w:eastAsia="en-US"/>
              </w:rPr>
              <w:t xml:space="preserve">HSBC MSCI BRAZIL UCITS ETF </w:t>
            </w:r>
          </w:p>
        </w:tc>
        <w:tc>
          <w:tcPr>
            <w:tcW w:w="2551" w:type="dxa"/>
          </w:tcPr>
          <w:p w:rsidR="009A4184" w:rsidRDefault="009A4184" w:rsidP="00013455">
            <w:r w:rsidRPr="00882D19">
              <w:rPr>
                <w:rStyle w:val="fu"/>
                <w:lang w:val="en"/>
              </w:rPr>
              <w:t>IE00B5W34K94</w:t>
            </w:r>
          </w:p>
        </w:tc>
      </w:tr>
      <w:tr w:rsidR="009A4184" w:rsidTr="00013455">
        <w:trPr>
          <w:trHeight w:hRule="exact" w:val="454"/>
        </w:trPr>
        <w:tc>
          <w:tcPr>
            <w:tcW w:w="6516" w:type="dxa"/>
          </w:tcPr>
          <w:p w:rsidR="009A4184" w:rsidRPr="00034F1C" w:rsidRDefault="009A4184" w:rsidP="00013455">
            <w:pPr>
              <w:pStyle w:val="Body"/>
              <w:rPr>
                <w:snapToGrid w:val="0"/>
                <w:szCs w:val="20"/>
                <w:lang w:val="en-US" w:eastAsia="en-US"/>
              </w:rPr>
            </w:pPr>
            <w:r w:rsidRPr="00034F1C">
              <w:rPr>
                <w:snapToGrid w:val="0"/>
                <w:szCs w:val="20"/>
                <w:lang w:val="en-US" w:eastAsia="en-US"/>
              </w:rPr>
              <w:t>HSBC MSCI CANADA UCITS ETF</w:t>
            </w:r>
          </w:p>
        </w:tc>
        <w:tc>
          <w:tcPr>
            <w:tcW w:w="2551" w:type="dxa"/>
          </w:tcPr>
          <w:p w:rsidR="009A4184" w:rsidRDefault="009A4184" w:rsidP="00013455">
            <w:r w:rsidRPr="00882D19">
              <w:rPr>
                <w:rStyle w:val="fu"/>
                <w:lang w:val="en"/>
              </w:rPr>
              <w:t>IE00B51B7Z02</w:t>
            </w:r>
          </w:p>
        </w:tc>
      </w:tr>
      <w:tr w:rsidR="009A4184" w:rsidTr="00013455">
        <w:trPr>
          <w:trHeight w:hRule="exact" w:val="454"/>
        </w:trPr>
        <w:tc>
          <w:tcPr>
            <w:tcW w:w="6516" w:type="dxa"/>
          </w:tcPr>
          <w:p w:rsidR="009A4184" w:rsidRPr="00034F1C" w:rsidRDefault="009A4184" w:rsidP="00013455">
            <w:pPr>
              <w:pStyle w:val="Body"/>
              <w:rPr>
                <w:snapToGrid w:val="0"/>
                <w:szCs w:val="20"/>
                <w:lang w:val="en-US" w:eastAsia="en-US"/>
              </w:rPr>
            </w:pPr>
            <w:r w:rsidRPr="00034F1C">
              <w:rPr>
                <w:snapToGrid w:val="0"/>
                <w:szCs w:val="20"/>
                <w:lang w:val="en-US" w:eastAsia="en-US"/>
              </w:rPr>
              <w:t>HSBC MSCI CHINA A INCLUSION UCITS ETF</w:t>
            </w:r>
          </w:p>
        </w:tc>
        <w:tc>
          <w:tcPr>
            <w:tcW w:w="2551" w:type="dxa"/>
          </w:tcPr>
          <w:p w:rsidR="009A4184" w:rsidRDefault="009A4184" w:rsidP="00013455">
            <w:r w:rsidRPr="00882D19">
              <w:rPr>
                <w:rStyle w:val="fu"/>
                <w:lang w:val="en"/>
              </w:rPr>
              <w:t>IE00BF4NQ904</w:t>
            </w:r>
          </w:p>
        </w:tc>
      </w:tr>
      <w:tr w:rsidR="009A4184" w:rsidTr="00013455">
        <w:trPr>
          <w:trHeight w:hRule="exact" w:val="454"/>
        </w:trPr>
        <w:tc>
          <w:tcPr>
            <w:tcW w:w="6516" w:type="dxa"/>
          </w:tcPr>
          <w:p w:rsidR="009A4184" w:rsidRPr="00034F1C" w:rsidRDefault="009A4184" w:rsidP="00013455">
            <w:pPr>
              <w:pStyle w:val="Body"/>
              <w:rPr>
                <w:snapToGrid w:val="0"/>
                <w:szCs w:val="20"/>
                <w:lang w:val="en-US" w:eastAsia="en-US"/>
              </w:rPr>
            </w:pPr>
            <w:r w:rsidRPr="00034F1C">
              <w:rPr>
                <w:snapToGrid w:val="0"/>
                <w:szCs w:val="20"/>
                <w:lang w:val="en-US" w:eastAsia="en-US"/>
              </w:rPr>
              <w:t>HSBC MSCI CHINA UCITS ETF</w:t>
            </w:r>
          </w:p>
        </w:tc>
        <w:tc>
          <w:tcPr>
            <w:tcW w:w="2551" w:type="dxa"/>
          </w:tcPr>
          <w:p w:rsidR="009A4184" w:rsidRDefault="009A4184" w:rsidP="00013455">
            <w:r w:rsidRPr="00882D19">
              <w:rPr>
                <w:rStyle w:val="fu"/>
                <w:lang w:val="en"/>
              </w:rPr>
              <w:t>IE00B44T3H88</w:t>
            </w:r>
          </w:p>
        </w:tc>
      </w:tr>
      <w:tr w:rsidR="009A4184" w:rsidTr="00013455">
        <w:trPr>
          <w:trHeight w:hRule="exact" w:val="454"/>
        </w:trPr>
        <w:tc>
          <w:tcPr>
            <w:tcW w:w="6516" w:type="dxa"/>
          </w:tcPr>
          <w:p w:rsidR="009A4184" w:rsidRPr="00034F1C" w:rsidRDefault="009A4184" w:rsidP="00013455">
            <w:pPr>
              <w:pStyle w:val="Body"/>
              <w:rPr>
                <w:snapToGrid w:val="0"/>
                <w:szCs w:val="20"/>
                <w:lang w:val="en-US" w:eastAsia="en-US"/>
              </w:rPr>
            </w:pPr>
            <w:r w:rsidRPr="00034F1C">
              <w:rPr>
                <w:snapToGrid w:val="0"/>
                <w:szCs w:val="20"/>
                <w:lang w:val="en-US" w:eastAsia="en-US"/>
              </w:rPr>
              <w:t>HSBC MSCI EMERGING MARKETS UCITS ETF</w:t>
            </w:r>
          </w:p>
        </w:tc>
        <w:tc>
          <w:tcPr>
            <w:tcW w:w="2551" w:type="dxa"/>
          </w:tcPr>
          <w:p w:rsidR="009A4184" w:rsidRDefault="009A4184" w:rsidP="00013455">
            <w:r w:rsidRPr="00882D19">
              <w:rPr>
                <w:rStyle w:val="fu"/>
                <w:lang w:val="en"/>
              </w:rPr>
              <w:t>IE00B5SSQT16</w:t>
            </w:r>
          </w:p>
        </w:tc>
      </w:tr>
      <w:tr w:rsidR="009A4184" w:rsidTr="00013455">
        <w:trPr>
          <w:trHeight w:hRule="exact" w:val="454"/>
        </w:trPr>
        <w:tc>
          <w:tcPr>
            <w:tcW w:w="6516" w:type="dxa"/>
          </w:tcPr>
          <w:p w:rsidR="009A4184" w:rsidRPr="00034F1C" w:rsidRDefault="009A4184" w:rsidP="00013455">
            <w:pPr>
              <w:pStyle w:val="Body"/>
              <w:rPr>
                <w:snapToGrid w:val="0"/>
                <w:szCs w:val="20"/>
                <w:lang w:val="en-US" w:eastAsia="en-US"/>
              </w:rPr>
            </w:pPr>
            <w:r w:rsidRPr="00034F1C">
              <w:rPr>
                <w:snapToGrid w:val="0"/>
                <w:szCs w:val="20"/>
                <w:lang w:val="en-US" w:eastAsia="en-US"/>
              </w:rPr>
              <w:t>HSBC MSCI EM FAR EAST UCITS ETF</w:t>
            </w:r>
          </w:p>
        </w:tc>
        <w:tc>
          <w:tcPr>
            <w:tcW w:w="2551" w:type="dxa"/>
          </w:tcPr>
          <w:p w:rsidR="009A4184" w:rsidRDefault="009A4184" w:rsidP="00013455">
            <w:r w:rsidRPr="00882D19">
              <w:rPr>
                <w:rStyle w:val="fu"/>
                <w:lang w:val="en"/>
              </w:rPr>
              <w:t>IE00B5LP3W10</w:t>
            </w:r>
          </w:p>
        </w:tc>
      </w:tr>
      <w:tr w:rsidR="009A4184" w:rsidTr="00013455">
        <w:trPr>
          <w:trHeight w:hRule="exact" w:val="454"/>
        </w:trPr>
        <w:tc>
          <w:tcPr>
            <w:tcW w:w="6516" w:type="dxa"/>
          </w:tcPr>
          <w:p w:rsidR="009A4184" w:rsidRPr="00C620CF" w:rsidRDefault="009A4184" w:rsidP="00013455">
            <w:pPr>
              <w:pStyle w:val="Body"/>
              <w:rPr>
                <w:snapToGrid w:val="0"/>
                <w:szCs w:val="20"/>
                <w:lang w:val="it-IT" w:eastAsia="en-US"/>
              </w:rPr>
            </w:pPr>
            <w:r w:rsidRPr="00034F1C">
              <w:rPr>
                <w:snapToGrid w:val="0"/>
                <w:szCs w:val="20"/>
                <w:lang w:val="it-IT" w:eastAsia="en-US"/>
              </w:rPr>
              <w:t>HSBC MSCI EM LATIN AMERICA UCITS ETF</w:t>
            </w:r>
          </w:p>
        </w:tc>
        <w:tc>
          <w:tcPr>
            <w:tcW w:w="2551" w:type="dxa"/>
          </w:tcPr>
          <w:p w:rsidR="009A4184" w:rsidRDefault="009A4184" w:rsidP="00013455">
            <w:r w:rsidRPr="00882D19">
              <w:rPr>
                <w:rStyle w:val="fu"/>
                <w:lang w:val="en"/>
              </w:rPr>
              <w:t>IE00B4TS3815</w:t>
            </w:r>
          </w:p>
        </w:tc>
      </w:tr>
      <w:tr w:rsidR="009A4184" w:rsidTr="00013455">
        <w:trPr>
          <w:trHeight w:hRule="exact" w:val="454"/>
        </w:trPr>
        <w:tc>
          <w:tcPr>
            <w:tcW w:w="6516" w:type="dxa"/>
          </w:tcPr>
          <w:p w:rsidR="009A4184" w:rsidRPr="00F92A9C" w:rsidRDefault="009A4184" w:rsidP="00013455">
            <w:pPr>
              <w:pStyle w:val="Body"/>
              <w:rPr>
                <w:snapToGrid w:val="0"/>
                <w:szCs w:val="20"/>
                <w:lang w:val="en-US" w:eastAsia="en-US"/>
              </w:rPr>
            </w:pPr>
            <w:r w:rsidRPr="00034F1C">
              <w:rPr>
                <w:snapToGrid w:val="0"/>
                <w:szCs w:val="20"/>
                <w:lang w:val="en-US" w:eastAsia="en-US"/>
              </w:rPr>
              <w:t>HSBC MSCI EUROPE UCITS ETF</w:t>
            </w:r>
          </w:p>
        </w:tc>
        <w:tc>
          <w:tcPr>
            <w:tcW w:w="2551" w:type="dxa"/>
          </w:tcPr>
          <w:p w:rsidR="009A4184" w:rsidRDefault="009A4184" w:rsidP="00013455">
            <w:r w:rsidRPr="00882D19">
              <w:rPr>
                <w:rStyle w:val="fu"/>
                <w:lang w:val="en"/>
              </w:rPr>
              <w:t>IE00B5BD5K76</w:t>
            </w:r>
          </w:p>
        </w:tc>
      </w:tr>
      <w:tr w:rsidR="009A4184" w:rsidTr="00013455">
        <w:trPr>
          <w:trHeight w:hRule="exact" w:val="454"/>
        </w:trPr>
        <w:tc>
          <w:tcPr>
            <w:tcW w:w="6516" w:type="dxa"/>
          </w:tcPr>
          <w:p w:rsidR="009A4184" w:rsidRPr="00034F1C" w:rsidRDefault="009A4184" w:rsidP="00013455">
            <w:pPr>
              <w:pStyle w:val="Body"/>
              <w:rPr>
                <w:snapToGrid w:val="0"/>
                <w:szCs w:val="20"/>
                <w:lang w:val="en-US" w:eastAsia="en-US"/>
              </w:rPr>
            </w:pPr>
            <w:r w:rsidRPr="00034F1C">
              <w:rPr>
                <w:snapToGrid w:val="0"/>
                <w:szCs w:val="20"/>
                <w:lang w:val="en-US" w:eastAsia="en-US"/>
              </w:rPr>
              <w:t>HSBC MSCI INDONESIA UCITS ETF</w:t>
            </w:r>
          </w:p>
        </w:tc>
        <w:tc>
          <w:tcPr>
            <w:tcW w:w="2551" w:type="dxa"/>
          </w:tcPr>
          <w:p w:rsidR="009A4184" w:rsidRDefault="009A4184" w:rsidP="00013455">
            <w:r w:rsidRPr="00882D19">
              <w:rPr>
                <w:rStyle w:val="fu"/>
                <w:lang w:val="en"/>
              </w:rPr>
              <w:t>IE00B46G8275</w:t>
            </w:r>
          </w:p>
        </w:tc>
      </w:tr>
      <w:tr w:rsidR="009A4184" w:rsidTr="00013455">
        <w:trPr>
          <w:trHeight w:hRule="exact" w:val="454"/>
        </w:trPr>
        <w:tc>
          <w:tcPr>
            <w:tcW w:w="6516" w:type="dxa"/>
          </w:tcPr>
          <w:p w:rsidR="009A4184" w:rsidRPr="00034F1C" w:rsidRDefault="009A4184" w:rsidP="00013455">
            <w:pPr>
              <w:pStyle w:val="Body"/>
              <w:rPr>
                <w:snapToGrid w:val="0"/>
                <w:szCs w:val="20"/>
                <w:lang w:val="en-US" w:eastAsia="en-US"/>
              </w:rPr>
            </w:pPr>
            <w:r w:rsidRPr="00034F1C">
              <w:rPr>
                <w:snapToGrid w:val="0"/>
                <w:szCs w:val="20"/>
                <w:lang w:val="en-US" w:eastAsia="en-US"/>
              </w:rPr>
              <w:t>HSBC MSCI JAPAN UCITS ETF</w:t>
            </w:r>
          </w:p>
        </w:tc>
        <w:tc>
          <w:tcPr>
            <w:tcW w:w="2551" w:type="dxa"/>
          </w:tcPr>
          <w:p w:rsidR="009A4184" w:rsidRDefault="009A4184" w:rsidP="00013455">
            <w:r w:rsidRPr="00882D19">
              <w:rPr>
                <w:rStyle w:val="fu"/>
                <w:lang w:val="en"/>
              </w:rPr>
              <w:t>IE00B5VX7566</w:t>
            </w:r>
          </w:p>
        </w:tc>
      </w:tr>
      <w:tr w:rsidR="009A4184" w:rsidTr="00013455">
        <w:trPr>
          <w:trHeight w:hRule="exact" w:val="454"/>
        </w:trPr>
        <w:tc>
          <w:tcPr>
            <w:tcW w:w="6516" w:type="dxa"/>
          </w:tcPr>
          <w:p w:rsidR="009A4184" w:rsidRPr="00034F1C" w:rsidRDefault="009A4184" w:rsidP="00013455">
            <w:pPr>
              <w:pStyle w:val="Body"/>
              <w:rPr>
                <w:snapToGrid w:val="0"/>
                <w:szCs w:val="20"/>
                <w:lang w:val="en-US" w:eastAsia="en-US"/>
              </w:rPr>
            </w:pPr>
            <w:r w:rsidRPr="00034F1C">
              <w:rPr>
                <w:snapToGrid w:val="0"/>
                <w:szCs w:val="20"/>
                <w:lang w:val="en-US" w:eastAsia="en-US"/>
              </w:rPr>
              <w:t>HSBC MSCI KOREA UCITS ETF</w:t>
            </w:r>
          </w:p>
        </w:tc>
        <w:tc>
          <w:tcPr>
            <w:tcW w:w="2551" w:type="dxa"/>
          </w:tcPr>
          <w:p w:rsidR="009A4184" w:rsidRDefault="009A4184" w:rsidP="00013455">
            <w:r w:rsidRPr="00882D19">
              <w:rPr>
                <w:rStyle w:val="fu"/>
                <w:lang w:val="en"/>
              </w:rPr>
              <w:t>IE00B3Z0X395</w:t>
            </w:r>
          </w:p>
        </w:tc>
      </w:tr>
      <w:tr w:rsidR="009A4184" w:rsidTr="00013455">
        <w:trPr>
          <w:trHeight w:hRule="exact" w:val="454"/>
        </w:trPr>
        <w:tc>
          <w:tcPr>
            <w:tcW w:w="6516" w:type="dxa"/>
          </w:tcPr>
          <w:p w:rsidR="009A4184" w:rsidRPr="00034F1C" w:rsidRDefault="009A4184" w:rsidP="00013455">
            <w:pPr>
              <w:pStyle w:val="Body"/>
              <w:rPr>
                <w:snapToGrid w:val="0"/>
                <w:szCs w:val="20"/>
                <w:lang w:val="en-US" w:eastAsia="en-US"/>
              </w:rPr>
            </w:pPr>
            <w:r w:rsidRPr="00034F1C">
              <w:rPr>
                <w:snapToGrid w:val="0"/>
                <w:szCs w:val="20"/>
                <w:lang w:val="en-US" w:eastAsia="en-US"/>
              </w:rPr>
              <w:t>HSBC MSCI MALAYSIA UCITS ETF</w:t>
            </w:r>
          </w:p>
        </w:tc>
        <w:tc>
          <w:tcPr>
            <w:tcW w:w="2551" w:type="dxa"/>
          </w:tcPr>
          <w:p w:rsidR="009A4184" w:rsidRDefault="009A4184" w:rsidP="00013455">
            <w:r w:rsidRPr="00882D19">
              <w:rPr>
                <w:rStyle w:val="fu"/>
                <w:lang w:val="en"/>
              </w:rPr>
              <w:t>IE00B3X3R831</w:t>
            </w:r>
          </w:p>
        </w:tc>
      </w:tr>
      <w:tr w:rsidR="009A4184" w:rsidTr="00013455">
        <w:trPr>
          <w:trHeight w:hRule="exact" w:val="454"/>
        </w:trPr>
        <w:tc>
          <w:tcPr>
            <w:tcW w:w="6516" w:type="dxa"/>
          </w:tcPr>
          <w:p w:rsidR="009A4184" w:rsidRPr="00034F1C" w:rsidRDefault="009A4184" w:rsidP="00013455">
            <w:pPr>
              <w:pStyle w:val="Body"/>
              <w:rPr>
                <w:snapToGrid w:val="0"/>
                <w:szCs w:val="20"/>
                <w:lang w:val="en-US" w:eastAsia="en-US"/>
              </w:rPr>
            </w:pPr>
            <w:r w:rsidRPr="00034F1C">
              <w:rPr>
                <w:snapToGrid w:val="0"/>
                <w:szCs w:val="20"/>
                <w:lang w:val="en-US" w:eastAsia="en-US"/>
              </w:rPr>
              <w:t>HSBC MSCI MEXICO CAPPED UCITS ETF</w:t>
            </w:r>
          </w:p>
        </w:tc>
        <w:tc>
          <w:tcPr>
            <w:tcW w:w="2551" w:type="dxa"/>
          </w:tcPr>
          <w:p w:rsidR="009A4184" w:rsidRDefault="009A4184" w:rsidP="00013455">
            <w:r w:rsidRPr="00882D19">
              <w:rPr>
                <w:rStyle w:val="fu"/>
                <w:lang w:val="en"/>
              </w:rPr>
              <w:t>IE00B3QMYK80</w:t>
            </w:r>
          </w:p>
        </w:tc>
      </w:tr>
      <w:tr w:rsidR="009A4184" w:rsidTr="00013455">
        <w:trPr>
          <w:trHeight w:hRule="exact" w:val="454"/>
        </w:trPr>
        <w:tc>
          <w:tcPr>
            <w:tcW w:w="6516" w:type="dxa"/>
          </w:tcPr>
          <w:p w:rsidR="009A4184" w:rsidRPr="00C620CF" w:rsidRDefault="009A4184" w:rsidP="00013455">
            <w:pPr>
              <w:pStyle w:val="Body"/>
              <w:rPr>
                <w:snapToGrid w:val="0"/>
                <w:szCs w:val="20"/>
                <w:lang w:val="fr-FR" w:eastAsia="en-US"/>
              </w:rPr>
            </w:pPr>
            <w:r w:rsidRPr="00034F1C">
              <w:rPr>
                <w:snapToGrid w:val="0"/>
                <w:szCs w:val="20"/>
                <w:lang w:val="fr-FR" w:eastAsia="en-US"/>
              </w:rPr>
              <w:t>HSBC MSCI PACIFIC ex JAPAN UCITS ETF</w:t>
            </w:r>
          </w:p>
        </w:tc>
        <w:tc>
          <w:tcPr>
            <w:tcW w:w="2551" w:type="dxa"/>
          </w:tcPr>
          <w:p w:rsidR="009A4184" w:rsidRDefault="009A4184" w:rsidP="00013455">
            <w:r w:rsidRPr="00882D19">
              <w:rPr>
                <w:rStyle w:val="fu"/>
                <w:lang w:val="en"/>
              </w:rPr>
              <w:t>IE00B5SG8Z57</w:t>
            </w:r>
          </w:p>
        </w:tc>
      </w:tr>
      <w:tr w:rsidR="009A4184" w:rsidTr="00013455">
        <w:trPr>
          <w:trHeight w:hRule="exact" w:val="454"/>
        </w:trPr>
        <w:tc>
          <w:tcPr>
            <w:tcW w:w="6516" w:type="dxa"/>
          </w:tcPr>
          <w:p w:rsidR="009A4184" w:rsidRPr="00C620CF" w:rsidRDefault="009A4184" w:rsidP="00013455">
            <w:pPr>
              <w:pStyle w:val="Body"/>
              <w:jc w:val="left"/>
              <w:rPr>
                <w:snapToGrid w:val="0"/>
                <w:szCs w:val="20"/>
                <w:lang w:val="it-IT" w:eastAsia="en-US"/>
              </w:rPr>
            </w:pPr>
            <w:r w:rsidRPr="00034F1C">
              <w:rPr>
                <w:snapToGrid w:val="0"/>
                <w:szCs w:val="20"/>
                <w:lang w:val="it-IT" w:eastAsia="en-US"/>
              </w:rPr>
              <w:t xml:space="preserve">HSBC MSCI RUSSIA CAPPED UCITS ETF </w:t>
            </w:r>
          </w:p>
        </w:tc>
        <w:tc>
          <w:tcPr>
            <w:tcW w:w="2551" w:type="dxa"/>
          </w:tcPr>
          <w:p w:rsidR="009A4184" w:rsidRDefault="009A4184" w:rsidP="00013455">
            <w:r w:rsidRPr="00882D19">
              <w:rPr>
                <w:rStyle w:val="fu"/>
                <w:lang w:val="en"/>
              </w:rPr>
              <w:t>IE00B5LJZQ16</w:t>
            </w:r>
          </w:p>
        </w:tc>
      </w:tr>
      <w:tr w:rsidR="009A4184" w:rsidTr="00013455">
        <w:trPr>
          <w:trHeight w:hRule="exact" w:val="454"/>
        </w:trPr>
        <w:tc>
          <w:tcPr>
            <w:tcW w:w="6516" w:type="dxa"/>
          </w:tcPr>
          <w:p w:rsidR="009A4184" w:rsidRPr="00034F1C" w:rsidRDefault="009A4184" w:rsidP="00013455">
            <w:pPr>
              <w:pStyle w:val="Body"/>
              <w:jc w:val="left"/>
              <w:rPr>
                <w:snapToGrid w:val="0"/>
                <w:szCs w:val="20"/>
                <w:lang w:val="it-IT" w:eastAsia="en-US"/>
              </w:rPr>
            </w:pPr>
            <w:r w:rsidRPr="00034F1C">
              <w:rPr>
                <w:snapToGrid w:val="0"/>
                <w:szCs w:val="20"/>
                <w:lang w:val="it-IT" w:eastAsia="en-US"/>
              </w:rPr>
              <w:t>HSBC MSCI SOUTH AFRICA CAPPED UCITS ETF</w:t>
            </w:r>
          </w:p>
        </w:tc>
        <w:tc>
          <w:tcPr>
            <w:tcW w:w="2551" w:type="dxa"/>
          </w:tcPr>
          <w:p w:rsidR="009A4184" w:rsidRDefault="009A4184" w:rsidP="00013455">
            <w:r w:rsidRPr="00A6221E">
              <w:rPr>
                <w:rStyle w:val="fu"/>
                <w:lang w:val="en"/>
              </w:rPr>
              <w:t xml:space="preserve"> </w:t>
            </w:r>
            <w:r w:rsidRPr="00882D19">
              <w:rPr>
                <w:rStyle w:val="fu"/>
                <w:lang w:val="en"/>
              </w:rPr>
              <w:t>IE00B57S5Q22</w:t>
            </w:r>
          </w:p>
        </w:tc>
      </w:tr>
      <w:tr w:rsidR="009A4184" w:rsidTr="00013455">
        <w:trPr>
          <w:trHeight w:hRule="exact" w:val="454"/>
        </w:trPr>
        <w:tc>
          <w:tcPr>
            <w:tcW w:w="6516" w:type="dxa"/>
          </w:tcPr>
          <w:p w:rsidR="009A4184" w:rsidRPr="00C620CF" w:rsidRDefault="009A4184" w:rsidP="00013455">
            <w:pPr>
              <w:pStyle w:val="Body"/>
              <w:jc w:val="left"/>
              <w:rPr>
                <w:snapToGrid w:val="0"/>
                <w:szCs w:val="20"/>
                <w:lang w:val="en-US" w:eastAsia="en-US"/>
              </w:rPr>
            </w:pPr>
            <w:r w:rsidRPr="00034F1C">
              <w:rPr>
                <w:snapToGrid w:val="0"/>
                <w:szCs w:val="20"/>
                <w:lang w:val="en-US" w:eastAsia="en-US"/>
              </w:rPr>
              <w:t>HSBC MSCI SAUDI ARABIA 20/35 CAPPED UCITS ETF</w:t>
            </w:r>
          </w:p>
        </w:tc>
        <w:tc>
          <w:tcPr>
            <w:tcW w:w="2551" w:type="dxa"/>
          </w:tcPr>
          <w:p w:rsidR="009A4184" w:rsidRDefault="009A4184" w:rsidP="00013455">
            <w:r w:rsidRPr="00882D19">
              <w:rPr>
                <w:rStyle w:val="fu"/>
                <w:lang w:val="en"/>
              </w:rPr>
              <w:t>IE00BGHHCV04</w:t>
            </w:r>
          </w:p>
        </w:tc>
      </w:tr>
      <w:tr w:rsidR="009A4184" w:rsidTr="00013455">
        <w:trPr>
          <w:trHeight w:hRule="exact" w:val="454"/>
        </w:trPr>
        <w:tc>
          <w:tcPr>
            <w:tcW w:w="6516" w:type="dxa"/>
          </w:tcPr>
          <w:p w:rsidR="009A4184" w:rsidRPr="00034F1C" w:rsidRDefault="009A4184" w:rsidP="00013455">
            <w:pPr>
              <w:pStyle w:val="Body"/>
              <w:jc w:val="left"/>
              <w:rPr>
                <w:snapToGrid w:val="0"/>
                <w:szCs w:val="20"/>
                <w:lang w:val="en-US" w:eastAsia="en-US"/>
              </w:rPr>
            </w:pPr>
            <w:r w:rsidRPr="00034F1C">
              <w:rPr>
                <w:snapToGrid w:val="0"/>
                <w:szCs w:val="20"/>
                <w:lang w:val="en-US" w:eastAsia="en-US"/>
              </w:rPr>
              <w:t>HSBC MSCI TAIWAN CAPPED UCITS ETF</w:t>
            </w:r>
          </w:p>
        </w:tc>
        <w:tc>
          <w:tcPr>
            <w:tcW w:w="2551" w:type="dxa"/>
          </w:tcPr>
          <w:p w:rsidR="009A4184" w:rsidRDefault="009A4184" w:rsidP="00013455">
            <w:r w:rsidRPr="00882D19">
              <w:rPr>
                <w:rStyle w:val="fu"/>
                <w:lang w:val="en"/>
              </w:rPr>
              <w:t>IE00B3S1J086</w:t>
            </w:r>
          </w:p>
        </w:tc>
      </w:tr>
      <w:tr w:rsidR="009A4184" w:rsidTr="00013455">
        <w:trPr>
          <w:trHeight w:hRule="exact" w:val="454"/>
        </w:trPr>
        <w:tc>
          <w:tcPr>
            <w:tcW w:w="6516" w:type="dxa"/>
          </w:tcPr>
          <w:p w:rsidR="009A4184" w:rsidRPr="00034F1C" w:rsidRDefault="009A4184" w:rsidP="00013455">
            <w:pPr>
              <w:pStyle w:val="Body"/>
              <w:jc w:val="left"/>
              <w:rPr>
                <w:snapToGrid w:val="0"/>
                <w:szCs w:val="20"/>
                <w:lang w:val="en-US" w:eastAsia="en-US"/>
              </w:rPr>
            </w:pPr>
            <w:r w:rsidRPr="00034F1C">
              <w:rPr>
                <w:snapToGrid w:val="0"/>
                <w:szCs w:val="20"/>
                <w:lang w:val="en-US" w:eastAsia="en-US"/>
              </w:rPr>
              <w:t>HSBC MSCI TURKEY UCITS ETF</w:t>
            </w:r>
          </w:p>
        </w:tc>
        <w:tc>
          <w:tcPr>
            <w:tcW w:w="2551" w:type="dxa"/>
          </w:tcPr>
          <w:p w:rsidR="009A4184" w:rsidRDefault="009A4184" w:rsidP="00013455">
            <w:r w:rsidRPr="00882D19">
              <w:rPr>
                <w:rStyle w:val="fu"/>
                <w:lang w:val="en"/>
              </w:rPr>
              <w:t>IE00B5BRQB73</w:t>
            </w:r>
          </w:p>
        </w:tc>
      </w:tr>
      <w:tr w:rsidR="009A4184" w:rsidTr="00013455">
        <w:trPr>
          <w:trHeight w:hRule="exact" w:val="454"/>
        </w:trPr>
        <w:tc>
          <w:tcPr>
            <w:tcW w:w="6516" w:type="dxa"/>
          </w:tcPr>
          <w:p w:rsidR="009A4184" w:rsidRPr="00034F1C" w:rsidRDefault="009A4184" w:rsidP="00013455">
            <w:pPr>
              <w:pStyle w:val="Body"/>
              <w:jc w:val="left"/>
              <w:rPr>
                <w:snapToGrid w:val="0"/>
                <w:szCs w:val="20"/>
                <w:lang w:val="en-US" w:eastAsia="en-US"/>
              </w:rPr>
            </w:pPr>
            <w:r w:rsidRPr="00034F1C">
              <w:rPr>
                <w:snapToGrid w:val="0"/>
                <w:szCs w:val="20"/>
                <w:lang w:val="en-US" w:eastAsia="en-US"/>
              </w:rPr>
              <w:t>HSBC MSCI USA UCITS ETF</w:t>
            </w:r>
          </w:p>
        </w:tc>
        <w:tc>
          <w:tcPr>
            <w:tcW w:w="2551" w:type="dxa"/>
          </w:tcPr>
          <w:p w:rsidR="009A4184" w:rsidRDefault="009A4184" w:rsidP="00013455">
            <w:r w:rsidRPr="00882D19">
              <w:rPr>
                <w:rStyle w:val="fu"/>
                <w:lang w:val="en"/>
              </w:rPr>
              <w:t>IE00B5WFQ436</w:t>
            </w:r>
          </w:p>
        </w:tc>
      </w:tr>
      <w:tr w:rsidR="009A4184" w:rsidTr="00013455">
        <w:trPr>
          <w:trHeight w:hRule="exact" w:val="454"/>
        </w:trPr>
        <w:tc>
          <w:tcPr>
            <w:tcW w:w="6516" w:type="dxa"/>
          </w:tcPr>
          <w:p w:rsidR="009A4184" w:rsidRPr="00034F1C" w:rsidRDefault="009A4184" w:rsidP="00013455">
            <w:pPr>
              <w:pStyle w:val="Body"/>
              <w:jc w:val="left"/>
              <w:rPr>
                <w:snapToGrid w:val="0"/>
                <w:szCs w:val="20"/>
                <w:lang w:val="en-US" w:eastAsia="en-US"/>
              </w:rPr>
            </w:pPr>
            <w:r w:rsidRPr="00034F1C">
              <w:rPr>
                <w:snapToGrid w:val="0"/>
                <w:szCs w:val="20"/>
                <w:lang w:val="en-US" w:eastAsia="en-US"/>
              </w:rPr>
              <w:t>HSBC MSCI WORLD UCITS ETF</w:t>
            </w:r>
          </w:p>
        </w:tc>
        <w:tc>
          <w:tcPr>
            <w:tcW w:w="2551" w:type="dxa"/>
          </w:tcPr>
          <w:p w:rsidR="009A4184" w:rsidRDefault="009A4184" w:rsidP="00013455">
            <w:r w:rsidRPr="008B59A3">
              <w:rPr>
                <w:rStyle w:val="fu"/>
                <w:lang w:val="en"/>
              </w:rPr>
              <w:t>IE00B4X9L533</w:t>
            </w:r>
          </w:p>
        </w:tc>
      </w:tr>
      <w:tr w:rsidR="009A4184" w:rsidTr="00013455">
        <w:trPr>
          <w:trHeight w:hRule="exact" w:val="454"/>
        </w:trPr>
        <w:tc>
          <w:tcPr>
            <w:tcW w:w="6516" w:type="dxa"/>
          </w:tcPr>
          <w:p w:rsidR="009A4184" w:rsidRPr="00034F1C" w:rsidRDefault="009A4184" w:rsidP="00013455">
            <w:pPr>
              <w:pStyle w:val="Body"/>
              <w:jc w:val="left"/>
              <w:rPr>
                <w:snapToGrid w:val="0"/>
                <w:szCs w:val="20"/>
                <w:lang w:val="en-US" w:eastAsia="en-US"/>
              </w:rPr>
            </w:pPr>
            <w:r w:rsidRPr="00034F1C">
              <w:rPr>
                <w:snapToGrid w:val="0"/>
                <w:szCs w:val="20"/>
                <w:lang w:val="en-US" w:eastAsia="en-US"/>
              </w:rPr>
              <w:lastRenderedPageBreak/>
              <w:t>HSBC S&amp;P 500 UCITS ETF</w:t>
            </w:r>
          </w:p>
        </w:tc>
        <w:tc>
          <w:tcPr>
            <w:tcW w:w="2551" w:type="dxa"/>
          </w:tcPr>
          <w:p w:rsidR="009A4184" w:rsidRDefault="009A4184" w:rsidP="00013455">
            <w:r w:rsidRPr="008B59A3">
              <w:rPr>
                <w:rStyle w:val="fu"/>
                <w:lang w:val="en"/>
              </w:rPr>
              <w:t>IE00B5KQNG97</w:t>
            </w:r>
          </w:p>
        </w:tc>
      </w:tr>
      <w:tr w:rsidR="009A4184" w:rsidTr="00013455">
        <w:trPr>
          <w:trHeight w:hRule="exact" w:val="454"/>
        </w:trPr>
        <w:tc>
          <w:tcPr>
            <w:tcW w:w="6516" w:type="dxa"/>
          </w:tcPr>
          <w:p w:rsidR="009A4184" w:rsidRPr="00034F1C" w:rsidRDefault="009A4184" w:rsidP="00013455">
            <w:pPr>
              <w:pStyle w:val="Body"/>
              <w:jc w:val="left"/>
              <w:rPr>
                <w:snapToGrid w:val="0"/>
                <w:szCs w:val="20"/>
                <w:lang w:val="en-US" w:eastAsia="en-US"/>
              </w:rPr>
            </w:pPr>
            <w:r w:rsidRPr="00034F1C">
              <w:rPr>
                <w:snapToGrid w:val="0"/>
                <w:szCs w:val="20"/>
                <w:lang w:val="en-US" w:eastAsia="en-US"/>
              </w:rPr>
              <w:t>HSBC MULTI FACTOR WORLDWIDE EQUITY UCITS ETF</w:t>
            </w:r>
          </w:p>
        </w:tc>
        <w:tc>
          <w:tcPr>
            <w:tcW w:w="2551" w:type="dxa"/>
          </w:tcPr>
          <w:p w:rsidR="009A4184" w:rsidRDefault="009A4184" w:rsidP="00013455">
            <w:r w:rsidRPr="008B59A3">
              <w:rPr>
                <w:rStyle w:val="fu"/>
                <w:lang w:val="en"/>
              </w:rPr>
              <w:t>IE00BKZGB098</w:t>
            </w:r>
          </w:p>
        </w:tc>
      </w:tr>
    </w:tbl>
    <w:p w:rsidR="009A4184" w:rsidRDefault="009A4184" w:rsidP="009A4184">
      <w:pPr>
        <w:rPr>
          <w:b/>
        </w:rPr>
      </w:pPr>
      <w:bookmarkStart w:id="0" w:name="_GoBack"/>
      <w:bookmarkEnd w:id="0"/>
    </w:p>
    <w:p w:rsidR="009A4184" w:rsidRPr="00CB105A" w:rsidRDefault="009A4184" w:rsidP="009A4184">
      <w:pPr>
        <w:rPr>
          <w:rFonts w:ascii="Arial" w:hAnsi="Arial" w:cs="Arial"/>
          <w:b/>
          <w:bCs/>
          <w:color w:val="000000"/>
          <w:sz w:val="20"/>
        </w:rPr>
      </w:pPr>
      <w:r w:rsidRPr="00CB105A">
        <w:rPr>
          <w:rFonts w:ascii="Arial" w:hAnsi="Arial" w:cs="Arial"/>
          <w:b/>
          <w:bCs/>
          <w:color w:val="000000"/>
          <w:sz w:val="20"/>
        </w:rPr>
        <w:t>Notes to editors:</w:t>
      </w:r>
    </w:p>
    <w:p w:rsidR="009A4184" w:rsidRPr="00CB105A" w:rsidRDefault="009A4184" w:rsidP="009A4184">
      <w:pPr>
        <w:rPr>
          <w:rFonts w:ascii="Arial" w:hAnsi="Arial" w:cs="Arial"/>
          <w:color w:val="000000"/>
          <w:sz w:val="20"/>
        </w:rPr>
      </w:pPr>
      <w:r w:rsidRPr="00CB105A">
        <w:rPr>
          <w:rFonts w:ascii="Arial" w:hAnsi="Arial" w:cs="Arial"/>
          <w:color w:val="000000"/>
          <w:sz w:val="20"/>
        </w:rPr>
        <w:t>The value of investments and any income from them can go down as well as up and investors may not get back the amount originally invested. Where overseas investments are held the rate of currency exchange may also cause the value of such investments to fluctuate. Investments in emerging markets are by their nature higher risk and potentially more volatile than those inherent in established markets.</w:t>
      </w:r>
    </w:p>
    <w:p w:rsidR="009A4184" w:rsidRPr="00CB105A" w:rsidRDefault="009A4184" w:rsidP="009A4184">
      <w:pPr>
        <w:rPr>
          <w:rFonts w:ascii="Arial" w:hAnsi="Arial" w:cs="Arial"/>
          <w:b/>
          <w:bCs/>
          <w:color w:val="000000"/>
          <w:sz w:val="20"/>
        </w:rPr>
      </w:pPr>
      <w:r w:rsidRPr="00CB105A">
        <w:rPr>
          <w:rFonts w:ascii="Arial" w:hAnsi="Arial" w:cs="Arial"/>
          <w:b/>
          <w:bCs/>
          <w:color w:val="000000"/>
          <w:sz w:val="20"/>
        </w:rPr>
        <w:t> </w:t>
      </w:r>
    </w:p>
    <w:p w:rsidR="009A4184" w:rsidRPr="00CB105A" w:rsidRDefault="009A4184" w:rsidP="009A4184">
      <w:pPr>
        <w:rPr>
          <w:rFonts w:ascii="Arial" w:hAnsi="Arial" w:cs="Arial"/>
          <w:b/>
          <w:bCs/>
          <w:color w:val="000000"/>
          <w:sz w:val="20"/>
        </w:rPr>
      </w:pPr>
      <w:r w:rsidRPr="00CB105A">
        <w:rPr>
          <w:rFonts w:ascii="Arial" w:hAnsi="Arial" w:cs="Arial"/>
          <w:b/>
          <w:bCs/>
          <w:color w:val="000000"/>
          <w:sz w:val="20"/>
        </w:rPr>
        <w:t>Exchange Traded Funds (ETFs) from HSBC Group</w:t>
      </w:r>
    </w:p>
    <w:p w:rsidR="009A4184" w:rsidRPr="00CB105A" w:rsidRDefault="009A4184" w:rsidP="009A4184">
      <w:pPr>
        <w:rPr>
          <w:rFonts w:ascii="Arial" w:hAnsi="Arial" w:cs="Arial"/>
          <w:color w:val="000000"/>
          <w:sz w:val="20"/>
        </w:rPr>
      </w:pPr>
      <w:r w:rsidRPr="00CB105A">
        <w:rPr>
          <w:rFonts w:ascii="Arial" w:hAnsi="Arial" w:cs="Arial"/>
          <w:color w:val="000000"/>
          <w:sz w:val="20"/>
        </w:rPr>
        <w:t>HSBC ETFs Plc is an investment company with variable capital incorporated in Ireland as a public limited company and is authorised by the Central Bank of Ireland as a UCITS pursuant to the UCITS Regulations. The Company is constituted as an umbrella fund, with segregated liability between sub-funds. Shares purchased on the secondary market cannot usually be sold directly back to the Company. Investors must buy and sell shares on the secondary market with the assistance of an intermediary (e.g. a stockbroker) and may incur fees for doing so. In addition, investors may pay more than the current Net Asset Value per share when buying shares and may receive less than the current Net Asset Value per Share when selling them</w:t>
      </w:r>
      <w:r w:rsidRPr="00CB105A">
        <w:rPr>
          <w:rFonts w:ascii="Arial" w:hAnsi="Arial" w:cs="Arial"/>
          <w:sz w:val="20"/>
        </w:rPr>
        <w:t xml:space="preserve">.  </w:t>
      </w:r>
      <w:r w:rsidRPr="00CB105A">
        <w:rPr>
          <w:rFonts w:ascii="Arial" w:hAnsi="Arial" w:cs="Arial"/>
          <w:sz w:val="20"/>
          <w:lang w:eastAsia="zh-CN"/>
        </w:rPr>
        <w:t xml:space="preserve">The indicative intra-day net asset value of the sub-funds is available on at least one major market data vendor terminal such as Bloomberg, as well as on a wide range of websites that display stock market data, including </w:t>
      </w:r>
      <w:hyperlink r:id="rId8" w:history="1">
        <w:r w:rsidRPr="00CB105A">
          <w:rPr>
            <w:rStyle w:val="Hyperlink"/>
            <w:rFonts w:ascii="Arial" w:hAnsi="Arial" w:cs="Arial"/>
            <w:sz w:val="20"/>
            <w:lang w:eastAsia="zh-CN"/>
          </w:rPr>
          <w:t>www.reuters.com</w:t>
        </w:r>
      </w:hyperlink>
      <w:r w:rsidRPr="00CB105A">
        <w:rPr>
          <w:rFonts w:ascii="Arial" w:hAnsi="Arial" w:cs="Arial"/>
          <w:sz w:val="20"/>
          <w:lang w:eastAsia="zh-CN"/>
        </w:rPr>
        <w:t xml:space="preserve">.  </w:t>
      </w:r>
      <w:r w:rsidRPr="00CB105A">
        <w:rPr>
          <w:rFonts w:ascii="Arial" w:hAnsi="Arial" w:cs="Arial"/>
          <w:color w:val="000000"/>
          <w:sz w:val="20"/>
        </w:rPr>
        <w:t>UK based investors in the Company are advised that they may not be afforded some of the protections conveyed by the Financial Services and Markets Act (2000), (the "Act”). The Company is recognised in the United Kingdom by the Financial Conduct Authority under section 264 of the Act. The shares in the Company have not been and will not be offered for sale or sold in the United States of America, its territories or possessions and all areas subject to its jurisdiction, or to United States Persons. Affiliated companies of HSBC Investment Funds (Luxembourg) S.A. may make markets in the Company. All applications are made on the basis of the current Prospectus of the Company, relevant Key Investor Information Document ("KIID"), Supplementary Information Document (SID) and the relevant Fund supplement, and most recent annual and semi-annual reports, which can be obtained upon request free of charge from HSBC Securities Services (Ireland) DAC by emailing ifsinvestorqueries@hsbc.com, or by visiting www.etf.hsbc.com, or from a stockbroker or financial adviser. Investors and potential investors should read and note the risk warnings in the Prospectus, relevant KIID and Fund supplement (where available) and additionally, in the case of retail clients, the information contained in the supporting SID.</w:t>
      </w:r>
    </w:p>
    <w:p w:rsidR="009A4184" w:rsidRPr="00CB105A" w:rsidRDefault="009A4184" w:rsidP="009A4184">
      <w:pPr>
        <w:rPr>
          <w:rFonts w:ascii="Arial" w:hAnsi="Arial" w:cs="Arial"/>
          <w:b/>
          <w:sz w:val="20"/>
        </w:rPr>
      </w:pPr>
    </w:p>
    <w:p w:rsidR="009A4184" w:rsidRPr="00CB105A" w:rsidRDefault="009A4184" w:rsidP="009A4184">
      <w:pPr>
        <w:rPr>
          <w:rFonts w:ascii="Arial" w:hAnsi="Arial" w:cs="Arial"/>
          <w:b/>
          <w:sz w:val="20"/>
        </w:rPr>
      </w:pPr>
    </w:p>
    <w:p w:rsidR="009A4184" w:rsidRPr="00CB105A" w:rsidRDefault="009A4184" w:rsidP="009A4184">
      <w:pPr>
        <w:rPr>
          <w:rFonts w:ascii="Arial" w:hAnsi="Arial" w:cs="Arial"/>
          <w:b/>
          <w:bCs/>
          <w:sz w:val="20"/>
        </w:rPr>
      </w:pPr>
      <w:r w:rsidRPr="00CB105A">
        <w:rPr>
          <w:rFonts w:ascii="Arial" w:hAnsi="Arial" w:cs="Arial"/>
          <w:b/>
          <w:bCs/>
          <w:sz w:val="20"/>
        </w:rPr>
        <w:t>HSBC Global Asset Management</w:t>
      </w:r>
    </w:p>
    <w:p w:rsidR="009A4184" w:rsidRPr="00CB105A" w:rsidRDefault="009A4184" w:rsidP="009A4184">
      <w:pPr>
        <w:spacing w:before="240" w:after="240"/>
        <w:rPr>
          <w:rFonts w:ascii="Arial" w:hAnsi="Arial" w:cs="Arial"/>
          <w:color w:val="000000"/>
          <w:sz w:val="20"/>
        </w:rPr>
      </w:pPr>
      <w:r w:rsidRPr="00CB105A">
        <w:rPr>
          <w:rFonts w:ascii="Arial" w:hAnsi="Arial" w:cs="Arial"/>
          <w:i/>
          <w:iCs/>
          <w:sz w:val="20"/>
        </w:rPr>
        <w:t>HSBC Global Asset Management should be referred to in full at all times to avoid confusion with any other financial services firms</w:t>
      </w:r>
      <w:r w:rsidRPr="00CB105A">
        <w:rPr>
          <w:rFonts w:ascii="Arial" w:hAnsi="Arial" w:cs="Arial"/>
          <w:b/>
          <w:bCs/>
          <w:i/>
          <w:iCs/>
          <w:sz w:val="20"/>
        </w:rPr>
        <w:t>.</w:t>
      </w:r>
    </w:p>
    <w:p w:rsidR="009A4184" w:rsidRPr="00CB105A" w:rsidRDefault="009A4184" w:rsidP="009A4184">
      <w:pPr>
        <w:rPr>
          <w:rFonts w:ascii="Arial" w:hAnsi="Arial" w:cs="Arial"/>
          <w:sz w:val="20"/>
        </w:rPr>
      </w:pPr>
      <w:r w:rsidRPr="00CB105A">
        <w:rPr>
          <w:rFonts w:ascii="Arial" w:hAnsi="Arial" w:cs="Arial"/>
          <w:sz w:val="20"/>
        </w:rPr>
        <w:t xml:space="preserve">HSBC Global Asset Management, the investment management business of the HSBC Group, invests on behalf of HSBC’s worldwide customer base of retail and private clients, intermediaries, corporates and institutions through both segregated accounts and pooled funds. HSBC Global Asset Management connects HSBC’s clients with investment opportunities around the world through an </w:t>
      </w:r>
      <w:proofErr w:type="gramStart"/>
      <w:r w:rsidRPr="00CB105A">
        <w:rPr>
          <w:rFonts w:ascii="Arial" w:hAnsi="Arial" w:cs="Arial"/>
          <w:sz w:val="20"/>
        </w:rPr>
        <w:t>international</w:t>
      </w:r>
      <w:proofErr w:type="gramEnd"/>
      <w:r w:rsidRPr="00CB105A">
        <w:rPr>
          <w:rFonts w:ascii="Arial" w:hAnsi="Arial" w:cs="Arial"/>
          <w:sz w:val="20"/>
        </w:rPr>
        <w:t xml:space="preserve"> network of offices in 26 countries and territories, delivering global capabilities with local market insight. As at 30 June 2019, HSBC Global Asset Management managed assets totalling US$503bn on behalf of its clients. For more information see </w:t>
      </w:r>
      <w:hyperlink r:id="rId9" w:history="1">
        <w:r w:rsidRPr="00CB105A">
          <w:rPr>
            <w:rStyle w:val="Hyperlink"/>
            <w:rFonts w:ascii="Arial" w:hAnsi="Arial" w:cs="Arial"/>
            <w:sz w:val="20"/>
          </w:rPr>
          <w:t>www.global.assetmanagement.hsbc.com</w:t>
        </w:r>
      </w:hyperlink>
    </w:p>
    <w:p w:rsidR="009A4184" w:rsidRPr="00CB105A" w:rsidRDefault="009A4184" w:rsidP="009A4184">
      <w:pPr>
        <w:spacing w:before="240" w:after="240"/>
        <w:rPr>
          <w:rFonts w:ascii="Arial" w:hAnsi="Arial" w:cs="Arial"/>
          <w:color w:val="000000"/>
          <w:sz w:val="20"/>
        </w:rPr>
      </w:pPr>
      <w:r w:rsidRPr="00CB105A">
        <w:rPr>
          <w:rFonts w:ascii="Arial" w:hAnsi="Arial" w:cs="Arial"/>
          <w:color w:val="000000"/>
          <w:sz w:val="20"/>
        </w:rPr>
        <w:t>HSBC Global Asset Management is the marketing name for the asset management businesses of HSBC Holdings plc.  </w:t>
      </w:r>
    </w:p>
    <w:p w:rsidR="009A4184" w:rsidRPr="00CB105A" w:rsidRDefault="009A4184" w:rsidP="009A4184">
      <w:pPr>
        <w:autoSpaceDE w:val="0"/>
        <w:autoSpaceDN w:val="0"/>
        <w:rPr>
          <w:rFonts w:ascii="Arial" w:hAnsi="Arial" w:cs="Arial"/>
          <w:b/>
          <w:bCs/>
          <w:color w:val="000000"/>
          <w:sz w:val="20"/>
        </w:rPr>
      </w:pPr>
      <w:r w:rsidRPr="00CB105A">
        <w:rPr>
          <w:rFonts w:ascii="Arial" w:hAnsi="Arial" w:cs="Arial"/>
          <w:b/>
          <w:bCs/>
          <w:color w:val="000000"/>
          <w:sz w:val="20"/>
        </w:rPr>
        <w:lastRenderedPageBreak/>
        <w:t>The HSBC Group</w:t>
      </w:r>
    </w:p>
    <w:p w:rsidR="009A4184" w:rsidRPr="00CB105A" w:rsidRDefault="009A4184" w:rsidP="009A4184">
      <w:pPr>
        <w:rPr>
          <w:rFonts w:ascii="Arial" w:hAnsi="Arial" w:cs="Arial"/>
          <w:color w:val="000000"/>
          <w:sz w:val="20"/>
        </w:rPr>
      </w:pPr>
    </w:p>
    <w:p w:rsidR="009A4184" w:rsidRPr="00CB105A" w:rsidRDefault="009A4184" w:rsidP="009A4184">
      <w:pPr>
        <w:rPr>
          <w:rFonts w:ascii="Arial" w:hAnsi="Arial" w:cs="Arial"/>
          <w:b/>
          <w:bCs/>
          <w:sz w:val="20"/>
        </w:rPr>
      </w:pPr>
      <w:r w:rsidRPr="00CB105A">
        <w:rPr>
          <w:rFonts w:ascii="Arial" w:hAnsi="Arial" w:cs="Arial"/>
          <w:b/>
          <w:bCs/>
          <w:sz w:val="20"/>
        </w:rPr>
        <w:t>HSBC Holdings plc</w:t>
      </w:r>
    </w:p>
    <w:p w:rsidR="009A4184" w:rsidRPr="00CB105A" w:rsidRDefault="009A4184" w:rsidP="009A4184">
      <w:pPr>
        <w:rPr>
          <w:rFonts w:ascii="Arial" w:hAnsi="Arial" w:cs="Arial"/>
          <w:b/>
          <w:bCs/>
          <w:sz w:val="20"/>
        </w:rPr>
      </w:pPr>
    </w:p>
    <w:p w:rsidR="009A4184" w:rsidRPr="00CB105A" w:rsidRDefault="009A4184" w:rsidP="009A4184">
      <w:pPr>
        <w:rPr>
          <w:rFonts w:ascii="Arial" w:hAnsi="Arial" w:cs="Arial"/>
          <w:sz w:val="20"/>
        </w:rPr>
      </w:pPr>
      <w:r w:rsidRPr="00CB105A">
        <w:rPr>
          <w:rFonts w:ascii="Arial" w:hAnsi="Arial" w:cs="Arial"/>
          <w:sz w:val="20"/>
        </w:rPr>
        <w:t>HSBC Holdings plc, the parent company of the HSBC Group, is headquartered in London. HSBC serves customers worldwide from offices in 65 countries and territories in our geographical regions: Europe, Asia, North America, Latin America, and Middle East and North Africa. With assets of US$2,751bn at 30 June 2019, HSBC is one of the world’s largest banking and financial services organisations.</w:t>
      </w:r>
    </w:p>
    <w:p w:rsidR="009A4184" w:rsidRPr="0083033C" w:rsidRDefault="009A4184" w:rsidP="009A4184">
      <w:pPr>
        <w:rPr>
          <w:b/>
        </w:rPr>
      </w:pPr>
    </w:p>
    <w:p w:rsidR="00E0267B" w:rsidRDefault="004515BC"/>
    <w:sectPr w:rsidR="00E0267B" w:rsidSect="009A4184">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184" w:rsidRDefault="009A4184" w:rsidP="009A4184">
      <w:r>
        <w:separator/>
      </w:r>
    </w:p>
  </w:endnote>
  <w:endnote w:type="continuationSeparator" w:id="0">
    <w:p w:rsidR="009A4184" w:rsidRDefault="009A4184" w:rsidP="009A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84" w:rsidRDefault="009A4184" w:rsidP="009A4184">
    <w:pPr>
      <w:pStyle w:val="Footer"/>
      <w:tabs>
        <w:tab w:val="clear" w:pos="4153"/>
        <w:tab w:val="clear" w:pos="8306"/>
        <w:tab w:val="center" w:pos="6804"/>
        <w:tab w:val="right" w:pos="8505"/>
      </w:tabs>
      <w:rPr>
        <w:b/>
        <w:spacing w:val="180"/>
        <w:sz w:val="18"/>
      </w:rPr>
    </w:pPr>
    <w:r>
      <w:rPr>
        <w:b/>
        <w:sz w:val="18"/>
      </w:rPr>
      <w:t>RESTRICTED - HSBC Global Asset Management Limited</w:t>
    </w:r>
    <w:r>
      <w:rPr>
        <w:b/>
        <w:sz w:val="18"/>
      </w:rPr>
      <w:tab/>
    </w:r>
  </w:p>
  <w:p w:rsidR="009A4184" w:rsidRDefault="009A4184" w:rsidP="009A4184">
    <w:pPr>
      <w:pStyle w:val="Footer"/>
      <w:tabs>
        <w:tab w:val="clear" w:pos="8306"/>
        <w:tab w:val="right" w:pos="8505"/>
      </w:tabs>
      <w:rPr>
        <w:sz w:val="18"/>
      </w:rPr>
    </w:pPr>
    <w:r>
      <w:rPr>
        <w:sz w:val="18"/>
      </w:rPr>
      <w:t>8 Canada Square, Canary Wharf, London, E14 5HQ</w:t>
    </w:r>
  </w:p>
  <w:p w:rsidR="009A4184" w:rsidRDefault="009A4184" w:rsidP="009A4184">
    <w:pPr>
      <w:pStyle w:val="Footer"/>
      <w:tabs>
        <w:tab w:val="clear" w:pos="8306"/>
        <w:tab w:val="right" w:pos="8505"/>
      </w:tabs>
      <w:rPr>
        <w:sz w:val="18"/>
      </w:rPr>
    </w:pPr>
    <w:r>
      <w:rPr>
        <w:sz w:val="18"/>
      </w:rPr>
      <w:t>Tel: +44 20 7991 8888   Fax: +44 20 7024 1999</w:t>
    </w:r>
  </w:p>
  <w:p w:rsidR="009A4184" w:rsidRPr="00A01713" w:rsidRDefault="009A4184" w:rsidP="009A4184">
    <w:pPr>
      <w:pStyle w:val="Footer"/>
      <w:tabs>
        <w:tab w:val="clear" w:pos="8306"/>
        <w:tab w:val="right" w:pos="8505"/>
      </w:tabs>
      <w:rPr>
        <w:sz w:val="18"/>
      </w:rPr>
    </w:pPr>
    <w:r>
      <w:rPr>
        <w:sz w:val="18"/>
      </w:rPr>
      <w:t>Web: www.assetmanagement.hsbc.com/uk</w:t>
    </w:r>
  </w:p>
  <w:p w:rsidR="009A4184" w:rsidRDefault="009A4184" w:rsidP="009A4184">
    <w:pPr>
      <w:pStyle w:val="Footer"/>
      <w:tabs>
        <w:tab w:val="clear" w:pos="8306"/>
        <w:tab w:val="right" w:pos="8505"/>
      </w:tabs>
      <w:spacing w:line="120" w:lineRule="auto"/>
      <w:rPr>
        <w:sz w:val="22"/>
      </w:rPr>
    </w:pPr>
  </w:p>
  <w:p w:rsidR="009A4184" w:rsidRDefault="009A4184" w:rsidP="009A4184">
    <w:pPr>
      <w:pStyle w:val="Footer"/>
      <w:tabs>
        <w:tab w:val="clear" w:pos="4153"/>
        <w:tab w:val="left" w:pos="6804"/>
        <w:tab w:val="right" w:pos="8505"/>
      </w:tabs>
      <w:rPr>
        <w:i/>
        <w:sz w:val="14"/>
      </w:rPr>
    </w:pPr>
    <w:r>
      <w:rPr>
        <w:i/>
        <w:sz w:val="14"/>
      </w:rPr>
      <w:t xml:space="preserve">Registered in </w:t>
    </w:r>
    <w:smartTag w:uri="urn:schemas-microsoft-com:office:smarttags" w:element="country-region">
      <w:smartTag w:uri="urn:schemas-microsoft-com:office:smarttags" w:element="place">
        <w:r>
          <w:rPr>
            <w:i/>
            <w:sz w:val="14"/>
          </w:rPr>
          <w:t>England</w:t>
        </w:r>
      </w:smartTag>
    </w:smartTag>
    <w:r>
      <w:rPr>
        <w:i/>
        <w:sz w:val="14"/>
      </w:rPr>
      <w:t xml:space="preserve"> number 1917956. Registered Office: </w:t>
    </w:r>
    <w:smartTag w:uri="urn:schemas-microsoft-com:office:smarttags" w:element="address">
      <w:smartTag w:uri="urn:schemas-microsoft-com:office:smarttags" w:element="Street">
        <w:r>
          <w:rPr>
            <w:i/>
            <w:sz w:val="14"/>
          </w:rPr>
          <w:t>8 Canada Square</w:t>
        </w:r>
      </w:smartTag>
      <w:r>
        <w:rPr>
          <w:i/>
          <w:sz w:val="14"/>
        </w:rPr>
        <w:t xml:space="preserve">, </w:t>
      </w:r>
      <w:smartTag w:uri="urn:schemas-microsoft-com:office:smarttags" w:element="City">
        <w:r>
          <w:rPr>
            <w:i/>
            <w:sz w:val="14"/>
          </w:rPr>
          <w:t>London</w:t>
        </w:r>
      </w:smartTag>
      <w:r>
        <w:rPr>
          <w:i/>
          <w:sz w:val="14"/>
        </w:rPr>
        <w:t xml:space="preserve"> </w:t>
      </w:r>
      <w:smartTag w:uri="urn:schemas-microsoft-com:office:smarttags" w:element="PostalCode">
        <w:r>
          <w:rPr>
            <w:i/>
            <w:sz w:val="14"/>
          </w:rPr>
          <w:t>E14 5HQ</w:t>
        </w:r>
      </w:smartTag>
    </w:smartTag>
    <w:r>
      <w:rPr>
        <w:i/>
        <w:sz w:val="14"/>
      </w:rPr>
      <w:t xml:space="preserve"> </w:t>
    </w:r>
  </w:p>
  <w:p w:rsidR="009A4184" w:rsidRDefault="009A4184" w:rsidP="009A4184">
    <w:pPr>
      <w:pStyle w:val="Footer"/>
      <w:rPr>
        <w:i/>
        <w:sz w:val="14"/>
      </w:rPr>
    </w:pPr>
    <w:r>
      <w:rPr>
        <w:i/>
        <w:sz w:val="14"/>
      </w:rPr>
      <w:t>Authorised and regulated by the Financial Conduct Authority</w:t>
    </w:r>
  </w:p>
  <w:p w:rsidR="009A4184" w:rsidRDefault="009A4184" w:rsidP="009A4184">
    <w:pPr>
      <w:pStyle w:val="Footer"/>
      <w:tabs>
        <w:tab w:val="clear" w:pos="4153"/>
        <w:tab w:val="left" w:pos="6804"/>
        <w:tab w:val="right" w:pos="8505"/>
      </w:tabs>
    </w:pPr>
    <w:r>
      <w:rPr>
        <w:i/>
        <w:sz w:val="14"/>
      </w:rPr>
      <w:t>To help improve our service and in the interest of security we may record and/or monitor your telephone calls with 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184" w:rsidRDefault="009A4184" w:rsidP="009A4184">
      <w:r>
        <w:separator/>
      </w:r>
    </w:p>
  </w:footnote>
  <w:footnote w:type="continuationSeparator" w:id="0">
    <w:p w:rsidR="009A4184" w:rsidRDefault="009A4184" w:rsidP="009A4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181BEC"/>
    <w:multiLevelType w:val="multilevel"/>
    <w:tmpl w:val="BBCCFE5A"/>
    <w:lvl w:ilvl="0">
      <w:start w:val="1"/>
      <w:numFmt w:val="decimal"/>
      <w:pStyle w:val="ACLevel1"/>
      <w:lvlText w:val="%1."/>
      <w:lvlJc w:val="left"/>
      <w:pPr>
        <w:tabs>
          <w:tab w:val="num" w:pos="720"/>
        </w:tabs>
        <w:ind w:left="72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isLgl/>
      <w:lvlText w:val="%1.%2"/>
      <w:lvlJc w:val="left"/>
      <w:pPr>
        <w:tabs>
          <w:tab w:val="num" w:pos="1440"/>
        </w:tabs>
        <w:ind w:left="144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2160"/>
        </w:tabs>
        <w:ind w:left="216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184"/>
    <w:rsid w:val="003935D2"/>
    <w:rsid w:val="004515BC"/>
    <w:rsid w:val="009A4184"/>
    <w:rsid w:val="00C52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5:chartTrackingRefBased/>
  <w15:docId w15:val="{23F3D751-7B45-4D60-8379-3E0D273D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18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A4184"/>
    <w:pPr>
      <w:tabs>
        <w:tab w:val="center" w:pos="4153"/>
        <w:tab w:val="right" w:pos="8306"/>
      </w:tabs>
    </w:pPr>
  </w:style>
  <w:style w:type="character" w:customStyle="1" w:styleId="FooterChar">
    <w:name w:val="Footer Char"/>
    <w:basedOn w:val="DefaultParagraphFont"/>
    <w:link w:val="Footer"/>
    <w:rsid w:val="009A4184"/>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A4184"/>
    <w:pPr>
      <w:tabs>
        <w:tab w:val="center" w:pos="4513"/>
        <w:tab w:val="right" w:pos="9026"/>
      </w:tabs>
    </w:pPr>
  </w:style>
  <w:style w:type="character" w:customStyle="1" w:styleId="HeaderChar">
    <w:name w:val="Header Char"/>
    <w:basedOn w:val="DefaultParagraphFont"/>
    <w:link w:val="Header"/>
    <w:uiPriority w:val="99"/>
    <w:rsid w:val="009A4184"/>
  </w:style>
  <w:style w:type="character" w:styleId="Hyperlink">
    <w:name w:val="Hyperlink"/>
    <w:rsid w:val="009A4184"/>
    <w:rPr>
      <w:color w:val="0000FF"/>
      <w:u w:val="single"/>
    </w:rPr>
  </w:style>
  <w:style w:type="paragraph" w:customStyle="1" w:styleId="Body">
    <w:name w:val="Body"/>
    <w:basedOn w:val="Normal"/>
    <w:uiPriority w:val="99"/>
    <w:rsid w:val="009A4184"/>
    <w:pPr>
      <w:adjustRightInd w:val="0"/>
      <w:spacing w:after="220"/>
      <w:jc w:val="both"/>
    </w:pPr>
    <w:rPr>
      <w:sz w:val="22"/>
      <w:szCs w:val="22"/>
      <w:lang w:val="en-IE" w:eastAsia="en-IE"/>
    </w:rPr>
  </w:style>
  <w:style w:type="paragraph" w:customStyle="1" w:styleId="ACLevel1">
    <w:name w:val="AC Level 1"/>
    <w:basedOn w:val="Normal"/>
    <w:uiPriority w:val="99"/>
    <w:rsid w:val="009A4184"/>
    <w:pPr>
      <w:numPr>
        <w:numId w:val="1"/>
      </w:numPr>
      <w:tabs>
        <w:tab w:val="clear" w:pos="720"/>
      </w:tabs>
      <w:ind w:left="0" w:firstLine="0"/>
    </w:pPr>
  </w:style>
  <w:style w:type="paragraph" w:customStyle="1" w:styleId="ACLevel2">
    <w:name w:val="AC Level 2"/>
    <w:basedOn w:val="Normal"/>
    <w:uiPriority w:val="99"/>
    <w:rsid w:val="009A4184"/>
    <w:pPr>
      <w:numPr>
        <w:ilvl w:val="1"/>
        <w:numId w:val="1"/>
      </w:numPr>
      <w:adjustRightInd w:val="0"/>
      <w:spacing w:after="220"/>
      <w:jc w:val="both"/>
      <w:outlineLvl w:val="1"/>
    </w:pPr>
    <w:rPr>
      <w:sz w:val="22"/>
      <w:szCs w:val="22"/>
      <w:lang w:val="en-IE" w:eastAsia="en-IE"/>
    </w:rPr>
  </w:style>
  <w:style w:type="paragraph" w:customStyle="1" w:styleId="ACLevel3">
    <w:name w:val="AC Level 3"/>
    <w:basedOn w:val="Normal"/>
    <w:uiPriority w:val="99"/>
    <w:rsid w:val="009A4184"/>
    <w:pPr>
      <w:numPr>
        <w:ilvl w:val="2"/>
        <w:numId w:val="1"/>
      </w:numPr>
      <w:tabs>
        <w:tab w:val="clear" w:pos="2160"/>
      </w:tabs>
      <w:ind w:left="0" w:firstLine="0"/>
    </w:pPr>
  </w:style>
  <w:style w:type="paragraph" w:customStyle="1" w:styleId="ACLevel4">
    <w:name w:val="AC Level 4"/>
    <w:basedOn w:val="Normal"/>
    <w:uiPriority w:val="99"/>
    <w:rsid w:val="009A4184"/>
    <w:pPr>
      <w:numPr>
        <w:ilvl w:val="3"/>
        <w:numId w:val="1"/>
      </w:numPr>
      <w:tabs>
        <w:tab w:val="clear" w:pos="2880"/>
      </w:tabs>
      <w:ind w:left="0" w:firstLine="0"/>
    </w:pPr>
  </w:style>
  <w:style w:type="paragraph" w:customStyle="1" w:styleId="ACLevel5">
    <w:name w:val="AC Level 5"/>
    <w:basedOn w:val="Normal"/>
    <w:uiPriority w:val="99"/>
    <w:rsid w:val="009A4184"/>
    <w:pPr>
      <w:numPr>
        <w:ilvl w:val="4"/>
        <w:numId w:val="1"/>
      </w:numPr>
      <w:tabs>
        <w:tab w:val="clear" w:pos="3600"/>
      </w:tabs>
      <w:ind w:left="0" w:firstLine="0"/>
    </w:pPr>
  </w:style>
  <w:style w:type="character" w:customStyle="1" w:styleId="fu">
    <w:name w:val="fu"/>
    <w:rsid w:val="009A4184"/>
  </w:style>
  <w:style w:type="table" w:styleId="TableGrid">
    <w:name w:val="Table Grid"/>
    <w:basedOn w:val="TableNormal"/>
    <w:uiPriority w:val="59"/>
    <w:rsid w:val="009A4184"/>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uter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lobal.assetmanagement.hsb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1236</Words>
  <Characters>6727</Characters>
  <Application>Microsoft Office Word</Application>
  <DocSecurity>0</DocSecurity>
  <Lines>186</Lines>
  <Paragraphs>107</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lydia.whitehorn@hsbc.com</dc:creator>
  <cp:keywords/>
  <dc:description/>
  <cp:lastModifiedBy>lydia.whitehorn@hsbc.com</cp:lastModifiedBy>
  <cp:revision>1</cp:revision>
  <dcterms:created xsi:type="dcterms:W3CDTF">2019-11-13T11:56:00Z</dcterms:created>
  <dcterms:modified xsi:type="dcterms:W3CDTF">2019-11-13T12:13:00Z</dcterms:modified>
</cp:coreProperties>
</file>